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Document title in sentence case</w:t>
      </w:r>
    </w:p>
    <w:p>
      <w:pPr>
        <w:pStyle w:val="Subtitle"/>
      </w:pPr>
      <w:r>
        <w:t>Subtitle: who it is for and when · October 2026</w:t>
      </w:r>
    </w:p>
    <w:p>
      <w:pPr>
        <w:pStyle w:val="Heading1"/>
      </w:pPr>
      <w:r>
        <w:t>Summary</w:t>
      </w:r>
    </w:p>
    <w:p>
      <w:r>
        <w:t>Start with the answer. In two or three sentences, say what this document recommends and why it matters to the reader. Write in plain English and the active voice.</w:t>
      </w:r>
    </w:p>
    <w:p>
      <w:pPr>
        <w:pStyle w:val="Heading1"/>
      </w:pPr>
      <w:r>
        <w:t>Section heading</w:t>
      </w:r>
    </w:p>
    <w:p>
      <w:r>
        <w:t>Body copy is Helvetica Now Text at 10.5 pt in Midnight 60. Keep paragraphs short. Use bold for the one phrase a skimming reader must not miss.</w:t>
      </w:r>
    </w:p>
    <w:p>
      <w:pPr>
        <w:pStyle w:val="Heading2"/>
      </w:pPr>
      <w:r>
        <w:t>Sub-section heading</w:t>
      </w:r>
    </w:p>
    <w:p>
      <w:pPr>
        <w:pStyle w:val="ListBullet"/>
      </w:pPr>
      <w:r>
        <w:t>Bullets start with a capital letter.</w:t>
      </w:r>
    </w:p>
    <w:p>
      <w:pPr>
        <w:pStyle w:val="ListBullet"/>
      </w:pPr>
      <w:r>
        <w:t>Keep each bullet to one idea.</w:t>
      </w:r>
    </w:p>
    <w:p>
      <w:pPr>
        <w:pStyle w:val="ListBullet"/>
      </w:pPr>
      <w:r>
        <w:t>No full stops on fragments; full stops on full sentences.</w:t>
      </w:r>
    </w:p>
    <w:p>
      <w:pPr>
        <w:pStyle w:val="Quote"/>
      </w:pPr>
      <w:r>
        <w:t>A pull quote for the one idea worth remembering.</w:t>
      </w:r>
    </w:p>
    <w:p>
      <w:pPr>
        <w:pStyle w:val="Heading3"/>
      </w:pPr>
      <w:r>
        <w:t>Table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r>
              <w:t>Product</w:t>
            </w:r>
          </w:p>
        </w:tc>
        <w:tc>
          <w:tcPr>
            <w:tcW w:type="dxa" w:w="3137"/>
          </w:tcPr>
          <w:p>
            <w:r>
              <w:t>What it does</w:t>
            </w:r>
          </w:p>
        </w:tc>
        <w:tc>
          <w:tcPr>
            <w:tcW w:type="dxa" w:w="3137"/>
          </w:tcPr>
          <w:p>
            <w:r>
              <w:t>Owner</w:t>
            </w:r>
          </w:p>
        </w:tc>
      </w:tr>
      <w:tr>
        <w:tc>
          <w:tcPr>
            <w:tcW w:type="dxa" w:w="3137"/>
          </w:tcPr>
          <w:p>
            <w:r>
              <w:t>NorthStar Desktop</w:t>
            </w:r>
          </w:p>
        </w:tc>
        <w:tc>
          <w:tcPr>
            <w:tcW w:type="dxa" w:w="3137"/>
          </w:tcPr>
          <w:p>
            <w:r>
              <w:t>Agentic workspace</w:t>
            </w:r>
          </w:p>
        </w:tc>
        <w:tc>
          <w:tcPr>
            <w:tcW w:type="dxa" w:w="3137"/>
          </w:tcPr>
          <w:p>
            <w:r>
              <w:t>NorthStar</w:t>
            </w:r>
          </w:p>
        </w:tc>
      </w:tr>
      <w:tr>
        <w:tc>
          <w:tcPr>
            <w:tcW w:type="dxa" w:w="3137"/>
          </w:tcPr>
          <w:p>
            <w:r>
              <w:t>NorthStar Admiral</w:t>
            </w:r>
          </w:p>
        </w:tc>
        <w:tc>
          <w:tcPr>
            <w:tcW w:type="dxa" w:w="3137"/>
          </w:tcPr>
          <w:p>
            <w:r>
              <w:t>Users, licences, model gateway</w:t>
            </w:r>
          </w:p>
        </w:tc>
        <w:tc>
          <w:tcPr>
            <w:tcW w:type="dxa" w:w="3137"/>
          </w:tcPr>
          <w:p>
            <w:r>
              <w:t>NorthStar</w:t>
            </w:r>
          </w:p>
        </w:tc>
      </w:tr>
      <w:tr>
        <w:tc>
          <w:tcPr>
            <w:tcW w:type="dxa" w:w="3137"/>
          </w:tcPr>
          <w:p>
            <w:r>
              <w:t>NorthEdge Horizon</w:t>
            </w:r>
          </w:p>
        </w:tc>
        <w:tc>
          <w:tcPr>
            <w:tcW w:type="dxa" w:w="3137"/>
          </w:tcPr>
          <w:p>
            <w:r>
              <w:t>Inference platform</w:t>
            </w:r>
          </w:p>
        </w:tc>
        <w:tc>
          <w:tcPr>
            <w:tcW w:type="dxa" w:w="3137"/>
          </w:tcPr>
          <w:p>
            <w:r>
              <w:t>NorthEdge</w:t>
            </w:r>
          </w:p>
        </w:tc>
      </w:tr>
    </w:tbl>
    <w:p>
      <w:pPr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8628A"/>
        <w:sz w:val="16"/>
      </w:rPr>
      <w:t>North · Confidential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8316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north-logo-midnigh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1600" cy="180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12" w:lineRule="auto"/>
    </w:pPr>
    <w:rPr>
      <w:rFonts w:ascii="Helvetica Now Text" w:hAnsi="Helvetica Now Text" w:cs="Helvetica Now Text" w:eastAsia="Helvetica Now Text"/>
      <w:b w:val="0"/>
      <w:color w:val="3D487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0" w:after="120"/>
      <w:outlineLvl w:val="0"/>
    </w:pPr>
    <w:rPr>
      <w:rFonts w:asciiTheme="majorHAnsi" w:eastAsiaTheme="majorEastAsia" w:hAnsiTheme="majorHAnsi" w:cstheme="majorBidi" w:ascii="Helvetica Now Display" w:hAnsi="Helvetica Now Display" w:cs="Helvetica Now Display" w:eastAsia="Helvetica Now Display"/>
      <w:b w:val="0"/>
      <w:bCs/>
      <w:color w:val="1B223D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Helvetica Now Display" w:hAnsi="Helvetica Now Display" w:cs="Helvetica Now Display" w:eastAsia="Helvetica Now Display"/>
      <w:b w:val="0"/>
      <w:bCs/>
      <w:color w:val="1B223D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 w:after="120"/>
      <w:outlineLvl w:val="2"/>
    </w:pPr>
    <w:rPr>
      <w:rFonts w:asciiTheme="majorHAnsi" w:eastAsiaTheme="majorEastAsia" w:hAnsiTheme="majorHAnsi" w:cstheme="majorBidi" w:ascii="Helvetica Now Display" w:hAnsi="Helvetica Now Display" w:cs="Helvetica Now Display" w:eastAsia="Helvetica Now Display"/>
      <w:b/>
      <w:bCs/>
      <w:color w:val="1B223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 w:ascii="Helvetica Now Display" w:hAnsi="Helvetica Now Display" w:cs="Helvetica Now Display" w:eastAsia="Helvetica Now Display"/>
      <w:b/>
      <w:color w:val="1B223D"/>
      <w:spacing w:val="5"/>
      <w:kern w:val="28"/>
      <w:sz w:val="6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Helvetica Now Display" w:hAnsi="Helvetica Now Display" w:cs="Helvetica Now Display" w:eastAsia="Helvetica Now Display"/>
      <w:b w:val="0"/>
      <w:i/>
      <w:iCs/>
      <w:color w:val="58628A"/>
      <w:spacing w:val="15"/>
      <w:sz w:val="3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Helvetica Now Display" w:hAnsi="Helvetica Now Display" w:cs="Helvetica Now Display" w:eastAsia="Helvetica Now Display"/>
      <w:b w:val="0"/>
      <w:i/>
      <w:iCs/>
      <w:color w:val="273156"/>
      <w:sz w:val="28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